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line="256" w:lineRule="auto"/>
        <w:rPr>
          <w:sz w:val="22"/>
          <w:szCs w:val="22"/>
        </w:rPr>
      </w:pPr>
      <w:r w:rsidDel="00000000" w:rsidR="00000000" w:rsidRPr="00000000">
        <w:rPr>
          <w:sz w:val="22"/>
          <w:szCs w:val="22"/>
          <w:rtl w:val="0"/>
        </w:rPr>
        <w:t xml:space="preserve">ROSAC0036ZPB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Cheile Vârghișului</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06459253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40985821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7338839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275,11</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31,75%</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Harghita, Covasna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375255741"/>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96211760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2029609922"/>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65311357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63163530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201785872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275,11</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bookmarkStart w:colFirst="0" w:colLast="0" w:name="_heading=h.kc52n6b6es96" w:id="0"/>
      <w:bookmarkEnd w:id="0"/>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RONPA0502 Cheile Vârghișului și peșterile din Chei;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996/2016 privind aprobarea Planului de management și a Regulamentului siturilor Natura 2000 ROSPA0027 Dealurile Homoroadelor și ROSCI0036 Cheile Vârghișului;</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bookmarkStart w:colFirst="0" w:colLast="0" w:name="_heading=h.d5h22i5uhb45" w:id="1"/>
      <w:bookmarkEnd w:id="1"/>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bookmarkStart w:colFirst="0" w:colLast="0" w:name="_heading=h.n1csyuhk7jeo" w:id="2"/>
      <w:bookmarkEnd w:id="2"/>
      <w:r w:rsidDel="00000000" w:rsidR="00000000" w:rsidRPr="00000000">
        <w:rPr>
          <w:sz w:val="22"/>
          <w:szCs w:val="22"/>
          <w:rtl w:val="0"/>
        </w:rPr>
        <w:t xml:space="preserve">Informația ecologică</w:t>
      </w:r>
    </w:p>
    <w:p w:rsidR="00000000" w:rsidDel="00000000" w:rsidP="00000000" w:rsidRDefault="00000000" w:rsidRPr="00000000" w14:paraId="00000068">
      <w:pPr>
        <w:spacing w:after="0" w:before="160" w:line="300" w:lineRule="auto"/>
        <w:rPr>
          <w:sz w:val="22"/>
          <w:szCs w:val="22"/>
        </w:rPr>
      </w:pPr>
      <w:r w:rsidDel="00000000" w:rsidR="00000000" w:rsidRPr="00000000">
        <w:rPr>
          <w:rtl w:val="0"/>
        </w:rPr>
      </w:r>
    </w:p>
    <w:tbl>
      <w:tblPr>
        <w:tblStyle w:val="Table8"/>
        <w:tblW w:w="8970.0" w:type="dxa"/>
        <w:jc w:val="left"/>
        <w:tblInd w:w="10.0" w:type="dxa"/>
        <w:tblLayout w:type="fixed"/>
        <w:tblLook w:val="0400"/>
      </w:tblPr>
      <w:tblGrid>
        <w:gridCol w:w="2385"/>
        <w:gridCol w:w="6585"/>
        <w:tblGridChange w:id="0">
          <w:tblGrid>
            <w:gridCol w:w="2385"/>
            <w:gridCol w:w="658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D">
            <w:pPr>
              <w:spacing w:after="0" w:line="300" w:lineRule="auto"/>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6E">
            <w:pPr>
              <w:spacing w:after="0" w:line="300" w:lineRule="auto"/>
              <w:jc w:val="both"/>
              <w:rPr>
                <w:i w:val="1"/>
                <w:iCs w:val="1"/>
                <w:sz w:val="22"/>
                <w:szCs w:val="22"/>
              </w:rPr>
            </w:pPr>
            <w:r w:rsidDel="00000000" w:rsidR="00000000" w:rsidRPr="00000000">
              <w:rPr>
                <w:i w:val="1"/>
                <w:iCs w:val="1"/>
                <w:sz w:val="22"/>
                <w:szCs w:val="22"/>
                <w:rtl w:val="0"/>
              </w:rPr>
              <w:t xml:space="preserve">9180*Păduri din Tilio-Acerion pe versanți abrupți, grohotișuri și ravene</w:t>
            </w:r>
          </w:p>
          <w:p w:rsidR="00000000" w:rsidDel="00000000" w:rsidP="00000000" w:rsidRDefault="00000000" w:rsidRPr="00000000" w14:paraId="0000006F">
            <w:pPr>
              <w:spacing w:after="0" w:line="300" w:lineRule="auto"/>
              <w:rPr>
                <w:sz w:val="22"/>
                <w:szCs w:val="22"/>
              </w:rPr>
            </w:pPr>
            <w:r w:rsidDel="00000000" w:rsidR="00000000" w:rsidRPr="00000000">
              <w:rPr>
                <w:sz w:val="22"/>
                <w:szCs w:val="22"/>
                <w:rtl w:val="0"/>
              </w:rPr>
              <w:t xml:space="preserve">91E0 * Păduri aluviale cu Alnus glutinosa și Fraxinus excelsior (Alno-Padion, Alnion incanae, Salicion albae)</w:t>
            </w:r>
          </w:p>
          <w:p w:rsidR="00000000" w:rsidDel="00000000" w:rsidP="00000000" w:rsidRDefault="00000000" w:rsidRPr="00000000" w14:paraId="00000070">
            <w:pPr>
              <w:spacing w:after="0" w:line="300" w:lineRule="auto"/>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1">
            <w:pPr>
              <w:spacing w:after="0" w:line="300" w:lineRule="auto"/>
              <w:rPr>
                <w:b w:val="1"/>
                <w:bCs w:val="1"/>
                <w:sz w:val="22"/>
                <w:szCs w:val="22"/>
              </w:rPr>
            </w:pPr>
            <w:r w:rsidDel="00000000" w:rsidR="00000000" w:rsidRPr="00000000">
              <w:rPr>
                <w:b w:val="1"/>
                <w:bCs w:val="1"/>
                <w:sz w:val="22"/>
                <w:szCs w:val="22"/>
                <w:rtl w:val="0"/>
              </w:rPr>
              <w:t xml:space="preserve">Habitate de versanți stâncoși:</w:t>
            </w:r>
          </w:p>
          <w:p w:rsidR="00000000" w:rsidDel="00000000" w:rsidP="00000000" w:rsidRDefault="00000000" w:rsidRPr="00000000" w14:paraId="00000072">
            <w:pPr>
              <w:spacing w:after="0" w:line="300" w:lineRule="auto"/>
              <w:jc w:val="both"/>
              <w:rPr>
                <w:i w:val="1"/>
                <w:iCs w:val="1"/>
                <w:sz w:val="22"/>
                <w:szCs w:val="22"/>
              </w:rPr>
            </w:pPr>
            <w:r w:rsidDel="00000000" w:rsidR="00000000" w:rsidRPr="00000000">
              <w:rPr>
                <w:i w:val="1"/>
                <w:iCs w:val="1"/>
                <w:sz w:val="22"/>
                <w:szCs w:val="22"/>
                <w:rtl w:val="0"/>
              </w:rPr>
              <w:t xml:space="preserve">8210 Versanţi stâncoşi cu vegetaţie chasmofitică pe roci calcaroase</w:t>
            </w:r>
          </w:p>
          <w:p w:rsidR="00000000" w:rsidDel="00000000" w:rsidP="00000000" w:rsidRDefault="00000000" w:rsidRPr="00000000" w14:paraId="00000073">
            <w:pPr>
              <w:spacing w:after="0" w:line="300" w:lineRule="auto"/>
              <w:jc w:val="both"/>
              <w:rPr>
                <w:b w:val="1"/>
                <w:bCs w:val="1"/>
                <w:sz w:val="22"/>
                <w:szCs w:val="22"/>
              </w:rPr>
            </w:pPr>
            <w:r w:rsidDel="00000000" w:rsidR="00000000" w:rsidRPr="00000000">
              <w:rPr>
                <w:b w:val="1"/>
                <w:bCs w:val="1"/>
                <w:sz w:val="22"/>
                <w:szCs w:val="22"/>
                <w:rtl w:val="0"/>
              </w:rPr>
              <w:t xml:space="preserve">Habitate de peșteri:</w:t>
            </w:r>
          </w:p>
          <w:p w:rsidR="00000000" w:rsidDel="00000000" w:rsidP="00000000" w:rsidRDefault="00000000" w:rsidRPr="00000000" w14:paraId="00000074">
            <w:pPr>
              <w:spacing w:after="0" w:line="300" w:lineRule="auto"/>
              <w:jc w:val="both"/>
              <w:rPr>
                <w:i w:val="1"/>
                <w:iCs w:val="1"/>
                <w:sz w:val="22"/>
                <w:szCs w:val="22"/>
              </w:rPr>
            </w:pPr>
            <w:r w:rsidDel="00000000" w:rsidR="00000000" w:rsidRPr="00000000">
              <w:rPr>
                <w:i w:val="1"/>
                <w:iCs w:val="1"/>
                <w:sz w:val="22"/>
                <w:szCs w:val="22"/>
                <w:rtl w:val="0"/>
              </w:rPr>
              <w:t xml:space="preserve">8310 Peșteri în care accesul publicului este interzis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sidDel="00000000" w:rsidR="00000000" w:rsidRPr="00000000">
              <w:rPr>
                <w:b w:val="1"/>
                <w:bCs w:val="1"/>
                <w:color w:val="000000"/>
                <w:sz w:val="22"/>
                <w:szCs w:val="22"/>
                <w:rtl w:val="0"/>
              </w:rPr>
              <w:t xml:space="preserve">Mamifere:</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1303 Rhinolophus hipposideros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1304 Rhinolophus ferrumequinum</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1307 Myotis blythii</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1308 Barbastella barbastellus</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1310 Miniopterus schreibersii</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1321 Myotis emarginatus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1323 Myotis bechsteinii</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1324 Myotis myotis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1354 Ursus arctos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sidDel="00000000" w:rsidR="00000000" w:rsidRPr="00000000">
              <w:rPr>
                <w:b w:val="1"/>
                <w:bCs w:val="1"/>
                <w:color w:val="000000"/>
                <w:sz w:val="22"/>
                <w:szCs w:val="22"/>
                <w:rtl w:val="0"/>
              </w:rPr>
              <w:t xml:space="preserve">Nevertebrate:</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4014 Carabus variolosus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4043 Chilostoma banaticum</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1086 Cucujus cinnaberinus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4054 Pholidoptera transsylvanica</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line="240" w:lineRule="auto"/>
              <w:rPr>
                <w:i w:val="1"/>
                <w:iCs w:val="1"/>
                <w:color w:val="000000"/>
                <w:sz w:val="22"/>
                <w:szCs w:val="22"/>
              </w:rPr>
            </w:pPr>
            <w:r w:rsidDel="00000000" w:rsidR="00000000" w:rsidRPr="00000000">
              <w:rPr>
                <w:i w:val="1"/>
                <w:iCs w:val="1"/>
                <w:color w:val="000000"/>
                <w:sz w:val="22"/>
                <w:szCs w:val="22"/>
                <w:rtl w:val="0"/>
              </w:rPr>
              <w:t xml:space="preserve">1087 Rosalia alpina</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line="240" w:lineRule="auto"/>
              <w:rPr>
                <w:b w:val="1"/>
                <w:bCs w:val="1"/>
                <w:i w:val="1"/>
                <w:iCs w:val="1"/>
                <w:color w:val="000000"/>
                <w:sz w:val="22"/>
                <w:szCs w:val="22"/>
              </w:rPr>
            </w:pPr>
            <w:r w:rsidDel="00000000" w:rsidR="00000000" w:rsidRPr="00000000">
              <w:rPr>
                <w:b w:val="1"/>
                <w:bCs w:val="1"/>
                <w:i w:val="1"/>
                <w:iCs w:val="1"/>
                <w:color w:val="000000"/>
                <w:sz w:val="22"/>
                <w:szCs w:val="22"/>
                <w:rtl w:val="0"/>
              </w:rPr>
              <w:t xml:space="preserve">Plante:</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line="240" w:lineRule="auto"/>
              <w:rPr>
                <w:i w:val="1"/>
                <w:iCs w:val="1"/>
                <w:color w:val="000000"/>
                <w:sz w:val="22"/>
                <w:szCs w:val="22"/>
              </w:rPr>
            </w:pPr>
            <w:r w:rsidDel="00000000" w:rsidR="00000000" w:rsidRPr="00000000">
              <w:rPr>
                <w:i w:val="1"/>
                <w:iCs w:val="1"/>
                <w:color w:val="000000"/>
                <w:sz w:val="22"/>
                <w:szCs w:val="22"/>
                <w:rtl w:val="0"/>
              </w:rPr>
              <w:t xml:space="preserve">1333 Cypripedium calceolus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Cheile Vârghişului reprezintă unul dintre cele mai spectaculoase fenomene carstice din regiune, adăpostind elemente naturale de valoare excepţională sub raport botanic, zoologic, speologic, paleontologic și peisagistic.</w:t>
            </w:r>
          </w:p>
          <w:p w:rsidR="00000000" w:rsidDel="00000000" w:rsidP="00000000" w:rsidRDefault="00000000" w:rsidRPr="00000000" w14:paraId="0000008A">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8B">
            <w:pPr>
              <w:spacing w:after="0" w:line="240" w:lineRule="auto"/>
              <w:jc w:val="both"/>
              <w:rPr>
                <w:sz w:val="22"/>
                <w:szCs w:val="22"/>
              </w:rPr>
            </w:pPr>
            <w:r w:rsidDel="00000000" w:rsidR="00000000" w:rsidRPr="00000000">
              <w:rPr>
                <w:sz w:val="22"/>
                <w:szCs w:val="22"/>
                <w:rtl w:val="0"/>
              </w:rPr>
              <w:t xml:space="preserve">În flora dintelui calcaros, pe lângă cele 10 endemisme carpatice și daco-balcanice, se remarcă populaţiile viabile de papucul doamnei (Cypripedium calceolus) și stânjenelul de stepă (Iris aphylla ssp. hungarica). Pajiștile deschise de stâncării calcaroase, tufărișurile xeroterme, pădurile pe grohotișuri și făgetele adăpostesc un număr total de 44 de specii de plante protejate pe listele roșii naționale.</w:t>
            </w:r>
          </w:p>
          <w:p w:rsidR="00000000" w:rsidDel="00000000" w:rsidP="00000000" w:rsidRDefault="00000000" w:rsidRPr="00000000" w14:paraId="0000008C">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8D">
            <w:pPr>
              <w:spacing w:after="0" w:line="240" w:lineRule="auto"/>
              <w:jc w:val="both"/>
              <w:rPr>
                <w:sz w:val="22"/>
                <w:szCs w:val="22"/>
              </w:rPr>
            </w:pPr>
            <w:r w:rsidDel="00000000" w:rsidR="00000000" w:rsidRPr="00000000">
              <w:rPr>
                <w:sz w:val="22"/>
                <w:szCs w:val="22"/>
                <w:rtl w:val="0"/>
              </w:rPr>
              <w:t xml:space="preserve">Stâncăria sălbatică, rețeaua endocarstică, pădurile și cursurile de apă constituie habitate critice pentru o faună extrem de bogată, deosebit de importantă fiind prezența a 15 specii de mamifere, dintre care 13 sunt specii de chiroptere (lilieci) listate în Anexa II a Directivei Habitate 92/43/CEE. Zona reprezintă un hotspot speologic național, adăpostind 19 specii de lilieci din cele peste 30 din România; în Peștera Mare de la Merești (Peștera Orbán Balázs) se găsesc colonii de maternitate și hibernare pentru liliacul comun (Myotis myotis), liliacul comun mic (Myotis oxygnathus) și liliacul mic cu potcoavă (Rhinolophus hipposideros), dar și specii rare de pădure precum liliacul cârn (Barbastella barbastellus) sau liliacul cu urechi mari (Myotis bechsteinii).</w:t>
            </w:r>
          </w:p>
          <w:p w:rsidR="00000000" w:rsidDel="00000000" w:rsidP="00000000" w:rsidRDefault="00000000" w:rsidRPr="00000000" w14:paraId="0000008E">
            <w:pPr>
              <w:spacing w:after="0" w:line="240" w:lineRule="auto"/>
              <w:jc w:val="both"/>
              <w:rPr>
                <w:sz w:val="22"/>
                <w:szCs w:val="22"/>
              </w:rPr>
            </w:pPr>
            <w:r w:rsidDel="00000000" w:rsidR="00000000" w:rsidRPr="00000000">
              <w:rPr>
                <w:sz w:val="22"/>
                <w:szCs w:val="22"/>
                <w:rtl w:val="0"/>
              </w:rPr>
              <w:t xml:space="preserve">Situl a fost desemnat și pentru conservarea a 7 tipuri de habitate de interes comunitar (Anexa I a Directivei Consiliului 92/43/CEE), printre care se remarcă comunitățile de pajiști panonice pe stâncării (6190), pantele stâncoase calcaroase cu vegetație chasmofitică (8210), peșterile neexploatate introduse în circuitul turistic (8310) și pădurile de Tilio-Acerion pe pante mari, grohotișuri și ravene (9180* - habitat prioritar).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300" w:lineRule="auto"/>
              <w:rPr>
                <w:sz w:val="22"/>
                <w:szCs w:val="22"/>
              </w:rPr>
            </w:pPr>
            <w:r w:rsidDel="00000000" w:rsidR="00000000" w:rsidRPr="00000000">
              <w:rPr>
                <w:sz w:val="22"/>
                <w:szCs w:val="22"/>
                <w:rtl w:val="0"/>
              </w:rPr>
              <w:t xml:space="preserve">K02 Evolutie biocenotica, succesiune</w:t>
            </w:r>
          </w:p>
          <w:p w:rsidR="00000000" w:rsidDel="00000000" w:rsidP="00000000" w:rsidRDefault="00000000" w:rsidRPr="00000000" w14:paraId="00000091">
            <w:pPr>
              <w:spacing w:after="0" w:line="300" w:lineRule="auto"/>
              <w:rPr>
                <w:sz w:val="22"/>
                <w:szCs w:val="22"/>
              </w:rPr>
            </w:pPr>
            <w:r w:rsidDel="00000000" w:rsidR="00000000" w:rsidRPr="00000000">
              <w:rPr>
                <w:sz w:val="22"/>
                <w:szCs w:val="22"/>
                <w:rtl w:val="0"/>
              </w:rPr>
              <w:t xml:space="preserve">B02 Gestionarea si utilizarea padurii si plantatiei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2">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A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E">
            <w:pPr>
              <w:jc w:val="both"/>
              <w:rPr>
                <w:sz w:val="22"/>
                <w:szCs w:val="22"/>
              </w:rPr>
            </w:pPr>
            <w:r w:rsidDel="00000000" w:rsidR="00000000" w:rsidRPr="00000000">
              <w:rPr>
                <w:b w:val="1"/>
                <w:bCs w:val="1"/>
                <w:sz w:val="22"/>
                <w:szCs w:val="22"/>
                <w:rtl w:val="0"/>
              </w:rPr>
              <w:t xml:space="preserve">Obiective și măsuri de non-intervenție pentru ecosistemele de stâncărie</w:t>
            </w:r>
            <w:r w:rsidDel="00000000" w:rsidR="00000000" w:rsidRPr="00000000">
              <w:rPr>
                <w:rtl w:val="0"/>
              </w:rPr>
            </w:r>
          </w:p>
          <w:p w:rsidR="00000000" w:rsidDel="00000000" w:rsidP="00000000" w:rsidRDefault="00000000" w:rsidRPr="00000000" w14:paraId="000000B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p>
          <w:p w:rsidR="00000000" w:rsidDel="00000000" w:rsidP="00000000" w:rsidRDefault="00000000" w:rsidRPr="00000000" w14:paraId="000000C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 Menținerea habitatelor și a speciilor rare, endemice sau sensibile asociate stâncăriilor și grohotișurilor.</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2. Menținerea microhabitatelor naturale (fisuri, cornișe, platforme, grohotișuri mobile) și a condițiilor de microclimat.</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3. Conservarea dinamicii geomorfologice naturale (eroziune, acumulare, căderi de blocuri), fără stabilizări artificiale.</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4. Limitarea deranjului și a degradărilor fizice cauzate de accesul și activitățile umane.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5. Monitorizarea stării de conservare și detectarea timpurie a presiunilor.</w:t>
            </w:r>
          </w:p>
          <w:p w:rsidR="00000000" w:rsidDel="00000000" w:rsidP="00000000" w:rsidRDefault="00000000" w:rsidRPr="00000000" w14:paraId="000000C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1. În ecosistemele de stâncărie și grohotiș nu se realizează lucrări de stabilizare, consolidare, amenajare, curățare sau eliminare a vegetației specifice.</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2. Activitățile umane sunt limitate strict la cele admise în regimul de non-intervenție: cercetare științifică, educație ecologică și ecoturism cu impact redus, fără construcții sau investiții.</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3. Accesul se limitează la trasee existente compatibile cu obiectivele de conservare; se evită traversarea directă a sectoarelor sensibile; pot fi instituite restricții spațio-temporale fără amenajări noi.</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4. Activitățile recreative care pot produce deranj sau degradări (escaladă, alpinism, parapantă) sunt interzise în sectoarele sensibile; nu sunt permise echipări, ancoraje permanente sau deschideri de trasee noi.</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5. Sunt interzise extragerea de materiale, amenajările turistice noi, deschiderea de drumuri și orice intervenție care modifică caracterul natural al stâncăriilor.</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6. Cercetarea și monitorizarea se realizează prin metode neintruzive, urmărind vegetația specifică, speciile asociate, procesele geomorfologice și presiunile antropice.</w:t>
            </w:r>
          </w:p>
          <w:p w:rsidR="00000000" w:rsidDel="00000000" w:rsidP="00000000" w:rsidRDefault="00000000" w:rsidRPr="00000000" w14:paraId="000000CE">
            <w:pPr>
              <w:jc w:val="both"/>
              <w:rPr>
                <w:sz w:val="22"/>
                <w:szCs w:val="22"/>
              </w:rPr>
            </w:pPr>
            <w:r w:rsidDel="00000000" w:rsidR="00000000" w:rsidRPr="00000000">
              <w:rPr>
                <w:b w:val="1"/>
                <w:bCs w:val="1"/>
                <w:sz w:val="22"/>
                <w:szCs w:val="22"/>
                <w:rtl w:val="0"/>
              </w:rPr>
              <w:t xml:space="preserve">Obiective și măsuri de non-intervenție pentru ecosistemele de peșteră (clasa A și clasa B)</w:t>
            </w:r>
            <w:r w:rsidDel="00000000" w:rsidR="00000000" w:rsidRPr="00000000">
              <w:rPr>
                <w:rtl w:val="0"/>
              </w:rPr>
            </w:r>
          </w:p>
          <w:p w:rsidR="00000000" w:rsidDel="00000000" w:rsidP="00000000" w:rsidRDefault="00000000" w:rsidRPr="00000000" w14:paraId="000000C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D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2. Menținerea în stare nealterată a depozitelor sedimentare și a speleotemelor.</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3. Conservarea biodiversității specifice mediului cavernicol și a coloniilor de chiroptere.</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4. Limitarea strictă a accesului și a presiunilor antropice.</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5. Monitorizarea stării de conservare și a eventualelor degradări.</w:t>
            </w:r>
          </w:p>
          <w:p w:rsidR="00000000" w:rsidDel="00000000" w:rsidP="00000000" w:rsidRDefault="00000000" w:rsidRPr="00000000" w14:paraId="000000D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8. Se monitorizează periodic parametrii de microclimat, starea habitatelor și eventualele presiuni antropice sau degradări.</w:t>
            </w:r>
          </w:p>
          <w:p w:rsidR="00000000" w:rsidDel="00000000" w:rsidP="00000000" w:rsidRDefault="00000000" w:rsidRPr="00000000" w14:paraId="000000E0">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sidDel="00000000" w:rsidR="00000000" w:rsidRPr="00000000">
              <w:rPr>
                <w:sz w:val="22"/>
                <w:szCs w:val="22"/>
                <w:rtl w:val="0"/>
              </w:rPr>
              <w:t xml:space="preserve">Publică de stat șiprivată</w:t>
            </w:r>
          </w:p>
        </w:tc>
      </w:tr>
    </w:tbl>
    <w:p w:rsidR="00000000" w:rsidDel="00000000" w:rsidP="00000000" w:rsidRDefault="00000000" w:rsidRPr="00000000" w14:paraId="000000E3">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Gyarmati, A. (2000).  A Vargyas-völgy  mohaflórája. – Múzeumi  Füzetek (Ko-lozsvár) 9: 41-45.</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Jére Cs., Dóczy A., Barti L. (2007): Results of research on the bat fauna of the Vârghiş Gorge (Eastern Carpathians, Romania). – Travaux de L’Institute de Speologie „Emil Racovitza”. t XLV-XLVI, p. 59-74, Bucharest, 2006-2007</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Orghidan, T., Dumitrescu, M. (1962–1963).  Studiul monografic al complexului carstic din defileul Vârghişului. Lucr. Inst. Speol “Emil Racoviţă”, Bucureşti, 1–2: 69–178.</w:t>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Munteanu, D., Miklóssy, V., Raţiu, F. (1987). Cheile Vârghişului  – Monument al Naturii. – Ocrot. Nat. Med. Înconjurător. 31 (2): 133-140.</w:t>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Vojtkó, A., și colab. 2012. Critical assessment of the flora of the Vargyas Gorge (Eastern Carpathians). Acta Biologica Plantarum Agriensis 2: 27 – 74</w:t>
      </w:r>
    </w:p>
    <w:p w:rsidR="00000000" w:rsidDel="00000000" w:rsidP="00000000" w:rsidRDefault="00000000" w:rsidRPr="00000000" w14:paraId="000000E9">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EA">
      <w:pPr>
        <w:pBdr>
          <w:top w:color="000000" w:space="0" w:sz="6" w:val="single"/>
          <w:left w:color="000000" w:space="0" w:sz="6" w:val="single"/>
          <w:bottom w:color="000000" w:space="0" w:sz="6" w:val="single"/>
          <w:right w:color="000000" w:space="0" w:sz="6" w:val="single"/>
        </w:pBdr>
        <w:spacing w:after="240" w:before="240" w:line="257" w:lineRule="auto"/>
        <w:jc w:val="both"/>
        <w:rPr>
          <w:sz w:val="22"/>
          <w:szCs w:val="22"/>
        </w:rPr>
      </w:pPr>
      <w:r w:rsidDel="00000000" w:rsidR="00000000" w:rsidRPr="00000000">
        <w:rPr>
          <w:sz w:val="22"/>
          <w:szCs w:val="22"/>
          <w:rtl w:val="0"/>
        </w:rPr>
        <w:t xml:space="preserve">Consultări publice realizate: 18 iunie 2025 – online, jud. Covasna și jud. Harghita. Ulterior, în cadrul procesului de consultare extins la nivel național, au avut loc consultări suplimentare online, în data de în data de 19 ianuarie 2026 cu participarea factorilor interesați relevanți din județul Harghita și în data de 22 ianuarie 2026 cu participarea factorilor interesați relevanți din județul Covasna. În perioada în 26 -27 martie 2026  au avut loc consultări publice la Prefectura Harghita iar în perioada 16 – 17 aprilie au avut loc consultări publice la Prefectura Covasna.</w:t>
      </w:r>
    </w:p>
    <w:p w:rsidR="00000000" w:rsidDel="00000000" w:rsidP="00000000" w:rsidRDefault="00000000" w:rsidRPr="00000000" w14:paraId="000000EB">
      <w:pPr>
        <w:pBdr>
          <w:top w:color="000000" w:space="0" w:sz="6" w:val="single"/>
          <w:left w:color="000000" w:space="0" w:sz="6" w:val="single"/>
          <w:bottom w:color="000000" w:space="0" w:sz="6" w:val="single"/>
          <w:right w:color="000000" w:space="0" w:sz="6" w:val="single"/>
        </w:pBdr>
        <w:spacing w:after="240" w:before="240" w:line="257" w:lineRule="auto"/>
        <w:jc w:val="both"/>
        <w:rPr>
          <w:sz w:val="22"/>
          <w:szCs w:val="22"/>
        </w:rPr>
      </w:pPr>
      <w:r w:rsidDel="00000000" w:rsidR="00000000" w:rsidRPr="00000000">
        <w:rPr>
          <w:rtl w:val="0"/>
        </w:rPr>
      </w:r>
    </w:p>
    <w:p w:rsidR="00000000" w:rsidDel="00000000" w:rsidP="00000000" w:rsidRDefault="00000000" w:rsidRPr="00000000" w14:paraId="000000EC">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D">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EE">
      <w:pPr>
        <w:spacing w:after="0" w:line="300" w:lineRule="auto"/>
        <w:rPr>
          <w:sz w:val="22"/>
          <w:szCs w:val="22"/>
        </w:rPr>
      </w:pPr>
      <w:r w:rsidDel="00000000" w:rsidR="00000000" w:rsidRPr="00000000">
        <w:rPr>
          <w:rtl w:val="0"/>
        </w:rPr>
      </w:r>
    </w:p>
    <w:p w:rsidR="00000000" w:rsidDel="00000000" w:rsidP="00000000" w:rsidRDefault="00000000" w:rsidRPr="00000000" w14:paraId="000000EF">
      <w:pPr>
        <w:spacing w:after="0" w:line="300" w:lineRule="auto"/>
        <w:rPr>
          <w:sz w:val="22"/>
          <w:szCs w:val="22"/>
        </w:rPr>
      </w:pPr>
      <w:r w:rsidDel="00000000" w:rsidR="00000000" w:rsidRPr="00000000">
        <w:rPr>
          <w:rtl w:val="0"/>
        </w:rPr>
      </w:r>
    </w:p>
    <w:p w:rsidR="00000000" w:rsidDel="00000000" w:rsidP="00000000" w:rsidRDefault="00000000" w:rsidRPr="00000000" w14:paraId="000000F0">
      <w:pPr>
        <w:spacing w:after="0" w:line="300" w:lineRule="auto"/>
        <w:rPr>
          <w:sz w:val="22"/>
          <w:szCs w:val="22"/>
        </w:rPr>
      </w:pPr>
      <w:r w:rsidDel="00000000" w:rsidR="00000000" w:rsidRPr="00000000">
        <w:rPr>
          <w:rtl w:val="0"/>
        </w:rPr>
      </w:r>
    </w:p>
    <w:p w:rsidR="00000000" w:rsidDel="00000000" w:rsidP="00000000" w:rsidRDefault="00000000" w:rsidRPr="00000000" w14:paraId="000000F1">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bp+Wwg4mOmRqN2TUtjKd1r2O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a2M1Mm42YjZlczk2Mg5oLmQ1aDIyaTV1aGI0NTIOaC5uMWNzeXVoazdqZW84AHIhMW1jaXZSZFNTMl9HSEFjbmxiZmdick10MnMyZ25CTX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